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9D" w:rsidRPr="00D23937" w:rsidRDefault="002E379D" w:rsidP="006E6E9F">
      <w:pPr>
        <w:snapToGrid w:val="0"/>
        <w:jc w:val="center"/>
        <w:rPr>
          <w:rFonts w:ascii="標楷體" w:eastAsia="標楷體" w:hAnsi="標楷體"/>
          <w:bCs/>
          <w:color w:val="0D0D0D" w:themeColor="text1" w:themeTint="F2"/>
          <w:sz w:val="32"/>
        </w:rPr>
      </w:pPr>
      <w:r w:rsidRPr="00D23937">
        <w:rPr>
          <w:rFonts w:ascii="標楷體" w:eastAsia="標楷體" w:hAnsi="標楷體" w:hint="eastAsia"/>
          <w:color w:val="0D0D0D" w:themeColor="text1" w:themeTint="F2"/>
          <w:sz w:val="32"/>
        </w:rPr>
        <w:t>臺北市私立靜心高級中學</w:t>
      </w:r>
      <w:r w:rsidR="00C37080" w:rsidRPr="00D23937">
        <w:rPr>
          <w:rFonts w:ascii="標楷體" w:eastAsia="標楷體" w:hAnsi="標楷體" w:hint="eastAsia"/>
          <w:color w:val="0D0D0D" w:themeColor="text1" w:themeTint="F2"/>
          <w:sz w:val="32"/>
        </w:rPr>
        <w:t>高中</w:t>
      </w:r>
      <w:r w:rsidRPr="00D23937">
        <w:rPr>
          <w:rFonts w:ascii="標楷體" w:eastAsia="標楷體" w:hAnsi="標楷體" w:hint="eastAsia"/>
          <w:bCs/>
          <w:color w:val="0D0D0D" w:themeColor="text1" w:themeTint="F2"/>
          <w:sz w:val="32"/>
        </w:rPr>
        <w:t>學生</w:t>
      </w:r>
      <w:r w:rsidR="00C37080" w:rsidRPr="00D23937">
        <w:rPr>
          <w:rFonts w:ascii="標楷體" w:eastAsia="標楷體" w:hAnsi="標楷體" w:hint="eastAsia"/>
          <w:bCs/>
          <w:color w:val="0D0D0D" w:themeColor="text1" w:themeTint="F2"/>
          <w:sz w:val="32"/>
        </w:rPr>
        <w:t>操行</w:t>
      </w:r>
      <w:r w:rsidRPr="00D23937">
        <w:rPr>
          <w:rFonts w:ascii="標楷體" w:eastAsia="標楷體" w:hAnsi="標楷體" w:hint="eastAsia"/>
          <w:bCs/>
          <w:color w:val="0D0D0D" w:themeColor="text1" w:themeTint="F2"/>
          <w:sz w:val="32"/>
        </w:rPr>
        <w:t>成績計算辦法</w:t>
      </w:r>
    </w:p>
    <w:p w:rsidR="002E379D" w:rsidRPr="00D23937" w:rsidRDefault="002E379D" w:rsidP="00D23937">
      <w:pPr>
        <w:spacing w:line="320" w:lineRule="exact"/>
        <w:jc w:val="right"/>
        <w:rPr>
          <w:rFonts w:ascii="標楷體" w:eastAsia="標楷體" w:hAnsi="標楷體"/>
          <w:color w:val="0D0D0D" w:themeColor="text1" w:themeTint="F2"/>
          <w:sz w:val="16"/>
          <w:szCs w:val="16"/>
        </w:rPr>
      </w:pPr>
      <w:r w:rsidRPr="00D23937">
        <w:rPr>
          <w:rFonts w:ascii="標楷體" w:eastAsia="標楷體" w:hAnsi="標楷體"/>
          <w:bCs/>
          <w:color w:val="0D0D0D" w:themeColor="text1" w:themeTint="F2"/>
          <w:sz w:val="20"/>
        </w:rPr>
        <w:t xml:space="preserve">      </w:t>
      </w:r>
      <w:r w:rsidRPr="00D23937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110年3月份校務會議通過</w:t>
      </w:r>
    </w:p>
    <w:p w:rsidR="00E06EA0" w:rsidRPr="00D23937" w:rsidRDefault="00E06EA0" w:rsidP="00D23937">
      <w:pPr>
        <w:spacing w:line="320" w:lineRule="exact"/>
        <w:jc w:val="right"/>
        <w:rPr>
          <w:rFonts w:ascii="標楷體" w:eastAsia="標楷體" w:hAnsi="標楷體"/>
          <w:color w:val="0D0D0D" w:themeColor="text1" w:themeTint="F2"/>
          <w:sz w:val="16"/>
          <w:szCs w:val="16"/>
        </w:rPr>
      </w:pPr>
      <w:r w:rsidRPr="00D23937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111</w:t>
      </w:r>
      <w:r w:rsidR="006D545E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.</w:t>
      </w:r>
      <w:r w:rsidRPr="00D23937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6</w:t>
      </w:r>
      <w:r w:rsidR="006D545E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.30</w:t>
      </w:r>
      <w:r w:rsidRPr="00D23937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校務會議</w:t>
      </w:r>
      <w:bookmarkStart w:id="0" w:name="_GoBack"/>
      <w:r w:rsidR="006D545E" w:rsidRPr="00D23937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修訂</w:t>
      </w:r>
      <w:bookmarkEnd w:id="0"/>
      <w:r w:rsidRPr="00D23937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通過</w:t>
      </w:r>
    </w:p>
    <w:p w:rsidR="002E379D" w:rsidRPr="00D23937" w:rsidRDefault="002E379D" w:rsidP="00D23937">
      <w:pPr>
        <w:snapToGrid w:val="0"/>
        <w:spacing w:line="420" w:lineRule="exact"/>
        <w:ind w:left="960" w:hangingChars="400" w:hanging="9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第1條：本辦法依據本校中學部學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務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處工作計畫及本校實際需求訂定之。</w:t>
      </w:r>
    </w:p>
    <w:p w:rsidR="002E379D" w:rsidRPr="00D23937" w:rsidRDefault="002E379D" w:rsidP="00D23937">
      <w:pPr>
        <w:snapToGrid w:val="0"/>
        <w:spacing w:line="420" w:lineRule="exact"/>
        <w:ind w:left="960" w:hangingChars="400" w:hanging="9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第2條：學生操行成績區分為下列五等：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 優 90 分以上</w:t>
      </w:r>
      <w:r w:rsidR="00E06EA0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（表現卓越）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 甲 80 分以上未滿 90 分</w:t>
      </w:r>
      <w:r w:rsidR="00E06EA0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（表現優秀）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 乙 70 分以上未滿 80 分</w:t>
      </w:r>
      <w:r w:rsidR="00E06EA0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（表現良好）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 丙 60 分以上未滿 70 分</w:t>
      </w:r>
      <w:r w:rsidR="00E06EA0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（需待加強）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 丁 未滿 60 分</w:t>
      </w:r>
      <w:r w:rsidR="00E06EA0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（亟待改進）</w:t>
      </w:r>
    </w:p>
    <w:p w:rsidR="002E379D" w:rsidRPr="00D23937" w:rsidRDefault="002E379D" w:rsidP="00D23937">
      <w:pPr>
        <w:snapToGrid w:val="0"/>
        <w:spacing w:line="420" w:lineRule="exact"/>
        <w:ind w:left="960" w:hangingChars="400" w:hanging="9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第3條：</w:t>
      </w:r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學生操行考核，由學</w:t>
      </w:r>
      <w:proofErr w:type="gramStart"/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務</w:t>
      </w:r>
      <w:proofErr w:type="gramEnd"/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處召開期末操行評定會議核定之。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</w:t>
      </w:r>
    </w:p>
    <w:p w:rsidR="00113EB6" w:rsidRPr="00D23937" w:rsidRDefault="002E379D" w:rsidP="00D23937">
      <w:pPr>
        <w:snapToGrid w:val="0"/>
        <w:spacing w:line="420" w:lineRule="exact"/>
        <w:ind w:left="960" w:hangingChars="400" w:hanging="9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第4條：</w:t>
      </w:r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學生操行成績得依據學生平日之言行品德優良或不良表現，其計算公式為：</w:t>
      </w:r>
    </w:p>
    <w:p w:rsidR="00113EB6" w:rsidRPr="00D23937" w:rsidRDefault="00113EB6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　　　</w:t>
      </w:r>
      <w:r w:rsidRPr="00D23937">
        <w:rPr>
          <w:rFonts w:ascii="標楷體" w:eastAsia="標楷體" w:hAnsi="標楷體"/>
          <w:color w:val="0D0D0D" w:themeColor="text1" w:themeTint="F2"/>
          <w:szCs w:val="24"/>
        </w:rPr>
        <w:tab/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出勤分數＋獎懲分數＋班級導師評分＋社團表現分數＋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服儀合格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獎勵</w:t>
      </w:r>
    </w:p>
    <w:p w:rsidR="002E379D" w:rsidRPr="00D23937" w:rsidRDefault="00113EB6" w:rsidP="00D23937">
      <w:pPr>
        <w:snapToGrid w:val="0"/>
        <w:spacing w:line="420" w:lineRule="exact"/>
        <w:ind w:left="480" w:firstLine="48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＋</w:t>
      </w:r>
      <w:r w:rsidR="00F66A57" w:rsidRPr="00D23937">
        <w:rPr>
          <w:rFonts w:ascii="標楷體" w:eastAsia="標楷體" w:hAnsi="標楷體" w:hint="eastAsia"/>
          <w:color w:val="0D0D0D" w:themeColor="text1" w:themeTint="F2"/>
          <w:szCs w:val="24"/>
        </w:rPr>
        <w:t>勤學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獎勵＋刷卡率獎勵＝實得分數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</w:t>
      </w:r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5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條：出席考勤標準如下列</w:t>
      </w:r>
      <w:r w:rsidR="00817366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proofErr w:type="gramStart"/>
      <w:r w:rsidR="00817366" w:rsidRPr="00D23937">
        <w:rPr>
          <w:rFonts w:ascii="標楷體" w:eastAsia="標楷體" w:hAnsi="標楷體" w:hint="eastAsia"/>
          <w:color w:val="0D0D0D" w:themeColor="text1" w:themeTint="F2"/>
          <w:szCs w:val="24"/>
        </w:rPr>
        <w:t>佔</w:t>
      </w:r>
      <w:proofErr w:type="gramEnd"/>
      <w:r w:rsidR="00817366" w:rsidRPr="00D23937">
        <w:rPr>
          <w:rFonts w:ascii="標楷體" w:eastAsia="標楷體" w:hAnsi="標楷體" w:hint="eastAsia"/>
          <w:color w:val="0D0D0D" w:themeColor="text1" w:themeTint="F2"/>
          <w:szCs w:val="24"/>
        </w:rPr>
        <w:t>操行成績比例 20%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1. 喪、公假不扣分。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2. 全學期事假每滿 </w:t>
      </w:r>
      <w:r w:rsidR="001702E5" w:rsidRPr="00D23937">
        <w:rPr>
          <w:rFonts w:ascii="標楷體" w:eastAsia="標楷體" w:hAnsi="標楷體" w:hint="eastAsia"/>
          <w:color w:val="0D0D0D" w:themeColor="text1" w:themeTint="F2"/>
          <w:szCs w:val="24"/>
        </w:rPr>
        <w:t>24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節減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1 分</w:t>
      </w:r>
    </w:p>
    <w:p w:rsidR="002E379D" w:rsidRPr="00D23937" w:rsidRDefault="002E379D" w:rsidP="00D23937">
      <w:pPr>
        <w:snapToGrid w:val="0"/>
        <w:spacing w:line="420" w:lineRule="exact"/>
        <w:ind w:leftChars="436" w:left="1406" w:hangingChars="150" w:hanging="3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3. 全學期病假每滿 </w:t>
      </w:r>
      <w:r w:rsidR="001702E5" w:rsidRPr="00D23937">
        <w:rPr>
          <w:rFonts w:ascii="標楷體" w:eastAsia="標楷體" w:hAnsi="標楷體" w:hint="eastAsia"/>
          <w:color w:val="0D0D0D" w:themeColor="text1" w:themeTint="F2"/>
          <w:szCs w:val="24"/>
        </w:rPr>
        <w:t>40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節減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1 分，因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疫情如</w:t>
      </w:r>
      <w:r w:rsidR="001702E5" w:rsidRPr="00D23937">
        <w:rPr>
          <w:rFonts w:ascii="標楷體" w:eastAsia="標楷體" w:hAnsi="標楷體" w:hint="eastAsia"/>
          <w:color w:val="0D0D0D" w:themeColor="text1" w:themeTint="F2"/>
          <w:szCs w:val="24"/>
        </w:rPr>
        <w:t>新</w:t>
      </w:r>
      <w:proofErr w:type="gramEnd"/>
      <w:r w:rsidR="001702E5" w:rsidRPr="00D23937">
        <w:rPr>
          <w:rFonts w:ascii="標楷體" w:eastAsia="標楷體" w:hAnsi="標楷體" w:hint="eastAsia"/>
          <w:color w:val="0D0D0D" w:themeColor="text1" w:themeTint="F2"/>
          <w:szCs w:val="24"/>
        </w:rPr>
        <w:t>冠肺炎、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流感、腸病毒</w:t>
      </w:r>
      <w:r w:rsidR="00B63FA8" w:rsidRPr="00D23937">
        <w:rPr>
          <w:rFonts w:ascii="標楷體" w:eastAsia="標楷體" w:hAnsi="標楷體" w:hint="eastAsia"/>
          <w:color w:val="0D0D0D" w:themeColor="text1" w:themeTint="F2"/>
          <w:szCs w:val="24"/>
        </w:rPr>
        <w:t>及水痘等疾病需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自我隔離者，及依政府</w:t>
      </w:r>
      <w:r w:rsidR="00B63FA8" w:rsidRPr="00D23937">
        <w:rPr>
          <w:rFonts w:ascii="標楷體" w:eastAsia="標楷體" w:hAnsi="標楷體" w:hint="eastAsia"/>
          <w:color w:val="0D0D0D" w:themeColor="text1" w:themeTint="F2"/>
          <w:szCs w:val="24"/>
        </w:rPr>
        <w:t>傳染病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規定應居家隔離或居家檢疫者，不列入計算病假時數。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4. 曠課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每節減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0.5 分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5. 上學遲到</w:t>
      </w:r>
      <w:r w:rsidR="008F6729" w:rsidRPr="00D23937">
        <w:rPr>
          <w:rFonts w:ascii="標楷體" w:eastAsia="標楷體" w:hAnsi="標楷體" w:hint="eastAsia"/>
          <w:color w:val="0D0D0D" w:themeColor="text1" w:themeTint="F2"/>
          <w:szCs w:val="24"/>
        </w:rPr>
        <w:t>每月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每滿 4 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次減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1 分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6. 重大集會無故缺席每滿 </w:t>
      </w:r>
      <w:r w:rsidR="001702E5" w:rsidRPr="00D23937">
        <w:rPr>
          <w:rFonts w:ascii="標楷體" w:eastAsia="標楷體" w:hAnsi="標楷體" w:hint="eastAsia"/>
          <w:color w:val="0D0D0D" w:themeColor="text1" w:themeTint="F2"/>
          <w:szCs w:val="24"/>
        </w:rPr>
        <w:t>2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次減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 1 分</w:t>
      </w:r>
    </w:p>
    <w:p w:rsidR="008F0375" w:rsidRPr="00D23937" w:rsidRDefault="008F0375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7</w:t>
      </w:r>
      <w:r w:rsidRPr="00D23937">
        <w:rPr>
          <w:rFonts w:ascii="標楷體" w:eastAsia="標楷體" w:hAnsi="標楷體"/>
          <w:color w:val="0D0D0D" w:themeColor="text1" w:themeTint="F2"/>
          <w:szCs w:val="24"/>
        </w:rPr>
        <w:t xml:space="preserve">. 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以上出席考勤含週六</w:t>
      </w:r>
      <w:r w:rsidR="00014E45" w:rsidRPr="00D23937">
        <w:rPr>
          <w:rFonts w:ascii="標楷體" w:eastAsia="標楷體" w:hAnsi="標楷體" w:hint="eastAsia"/>
          <w:color w:val="0D0D0D" w:themeColor="text1" w:themeTint="F2"/>
          <w:szCs w:val="24"/>
        </w:rPr>
        <w:t>到課</w:t>
      </w:r>
      <w:r w:rsidR="005F4947" w:rsidRPr="00D23937">
        <w:rPr>
          <w:rFonts w:ascii="標楷體" w:eastAsia="標楷體" w:hAnsi="標楷體" w:hint="eastAsia"/>
          <w:color w:val="0D0D0D" w:themeColor="text1" w:themeTint="F2"/>
          <w:szCs w:val="24"/>
        </w:rPr>
        <w:t>、博識大講堂</w:t>
      </w:r>
      <w:r w:rsidR="00014E45" w:rsidRPr="00D23937">
        <w:rPr>
          <w:rFonts w:ascii="標楷體" w:eastAsia="標楷體" w:hAnsi="標楷體" w:hint="eastAsia"/>
          <w:color w:val="0D0D0D" w:themeColor="text1" w:themeTint="F2"/>
          <w:szCs w:val="24"/>
        </w:rPr>
        <w:t>及社團活動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</w:t>
      </w:r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6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條：獎懲加減標準如下列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1. 記大功者每次加 7 分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2. 記小功者每次加 3 分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3. 記嘉獎者每次加 1 分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4. 記大過者每次減 7 分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5. 記小過者每次減 3 分</w:t>
      </w:r>
    </w:p>
    <w:p w:rsidR="002E379D" w:rsidRPr="00D23937" w:rsidRDefault="002E379D" w:rsidP="00D23937">
      <w:pPr>
        <w:snapToGrid w:val="0"/>
        <w:spacing w:line="420" w:lineRule="exact"/>
        <w:ind w:leftChars="436" w:left="1329" w:hangingChars="118" w:hanging="283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6. 記警告者每次減 1 分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</w:t>
      </w:r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7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條：日常表現加減標準如下列</w:t>
      </w:r>
      <w:r w:rsidR="006C3224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：</w:t>
      </w:r>
    </w:p>
    <w:p w:rsidR="002E379D" w:rsidRPr="00D23937" w:rsidRDefault="002E379D" w:rsidP="00D23937">
      <w:pPr>
        <w:snapToGrid w:val="0"/>
        <w:spacing w:line="420" w:lineRule="exact"/>
        <w:ind w:leftChars="350" w:left="840" w:firstLine="12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導師依學生日常行為表現結果 0～100 給分，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佔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操行成績比例 </w:t>
      </w:r>
      <w:r w:rsidR="006C3224" w:rsidRPr="00D23937">
        <w:rPr>
          <w:rFonts w:ascii="標楷體" w:eastAsia="標楷體" w:hAnsi="標楷體" w:hint="eastAsia"/>
          <w:color w:val="0D0D0D" w:themeColor="text1" w:themeTint="F2"/>
          <w:szCs w:val="24"/>
        </w:rPr>
        <w:t>2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0%。</w:t>
      </w:r>
    </w:p>
    <w:p w:rsidR="002E379D" w:rsidRPr="00D23937" w:rsidRDefault="002E379D" w:rsidP="00D23937">
      <w:pPr>
        <w:snapToGrid w:val="0"/>
        <w:spacing w:line="420" w:lineRule="exact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lastRenderedPageBreak/>
        <w:t>第</w:t>
      </w:r>
      <w:r w:rsidR="00113EB6" w:rsidRPr="00D23937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條：社團成績團體活動加減</w:t>
      </w:r>
      <w:r w:rsidR="006C3224" w:rsidRPr="00D23937">
        <w:rPr>
          <w:rFonts w:ascii="標楷體" w:eastAsia="標楷體" w:hAnsi="標楷體" w:hint="eastAsia"/>
          <w:color w:val="0D0D0D" w:themeColor="text1" w:themeTint="F2"/>
          <w:szCs w:val="24"/>
        </w:rPr>
        <w:t>分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標準如下列</w:t>
      </w:r>
      <w:r w:rsidR="006C3224" w:rsidRPr="00D23937">
        <w:rPr>
          <w:rFonts w:ascii="標楷體" w:eastAsia="標楷體" w:hAnsi="標楷體" w:hint="eastAsia"/>
          <w:color w:val="0D0D0D" w:themeColor="text1" w:themeTint="F2"/>
          <w:szCs w:val="24"/>
        </w:rPr>
        <w:t>：</w:t>
      </w:r>
    </w:p>
    <w:p w:rsidR="002E379D" w:rsidRPr="00D23937" w:rsidRDefault="002E379D" w:rsidP="00D23937">
      <w:pPr>
        <w:snapToGrid w:val="0"/>
        <w:spacing w:line="420" w:lineRule="exact"/>
        <w:ind w:leftChars="350" w:left="840" w:firstLine="12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社團老師評分0～100給分，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佔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 xml:space="preserve">操行成績比例 </w:t>
      </w:r>
      <w:r w:rsidR="006C3224" w:rsidRPr="00D23937">
        <w:rPr>
          <w:rFonts w:ascii="標楷體" w:eastAsia="標楷體" w:hAnsi="標楷體" w:hint="eastAsia"/>
          <w:color w:val="0D0D0D" w:themeColor="text1" w:themeTint="F2"/>
          <w:szCs w:val="24"/>
        </w:rPr>
        <w:t>1</w:t>
      </w:r>
      <w:r w:rsidR="00056BD3" w:rsidRPr="00D23937">
        <w:rPr>
          <w:rFonts w:ascii="標楷體" w:eastAsia="標楷體" w:hAnsi="標楷體" w:hint="eastAsia"/>
          <w:color w:val="0D0D0D" w:themeColor="text1" w:themeTint="F2"/>
          <w:szCs w:val="24"/>
        </w:rPr>
        <w:t>0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%。</w:t>
      </w:r>
    </w:p>
    <w:p w:rsidR="006C3224" w:rsidRPr="00D23937" w:rsidRDefault="002E379D" w:rsidP="00D23937">
      <w:pPr>
        <w:snapToGrid w:val="0"/>
        <w:spacing w:line="420" w:lineRule="exact"/>
        <w:ind w:left="1200" w:hangingChars="500" w:hanging="120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</w:t>
      </w:r>
      <w:r w:rsidR="00D23937">
        <w:rPr>
          <w:rFonts w:ascii="標楷體" w:eastAsia="標楷體" w:hAnsi="標楷體"/>
          <w:color w:val="0D0D0D" w:themeColor="text1" w:themeTint="F2"/>
          <w:szCs w:val="24"/>
        </w:rPr>
        <w:t>9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</w:t>
      </w:r>
      <w:proofErr w:type="gramStart"/>
      <w:r w:rsidR="006C3224" w:rsidRPr="00D23937">
        <w:rPr>
          <w:rFonts w:ascii="標楷體" w:eastAsia="標楷體" w:hAnsi="標楷體" w:hint="eastAsia"/>
          <w:color w:val="0D0D0D" w:themeColor="text1" w:themeTint="F2"/>
          <w:szCs w:val="24"/>
        </w:rPr>
        <w:t>服儀合格</w:t>
      </w:r>
      <w:proofErr w:type="gramEnd"/>
      <w:r w:rsidR="006C3224" w:rsidRPr="00D23937">
        <w:rPr>
          <w:rFonts w:ascii="標楷體" w:eastAsia="標楷體" w:hAnsi="標楷體" w:hint="eastAsia"/>
          <w:color w:val="0D0D0D" w:themeColor="text1" w:themeTint="F2"/>
          <w:szCs w:val="24"/>
        </w:rPr>
        <w:t>獎勵標準如下列</w:t>
      </w:r>
    </w:p>
    <w:p w:rsidR="00E86FB2" w:rsidRPr="00D23937" w:rsidRDefault="00E86FB2" w:rsidP="00D23937">
      <w:pPr>
        <w:snapToGrid w:val="0"/>
        <w:spacing w:line="420" w:lineRule="exact"/>
        <w:ind w:left="9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學生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服儀經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日常及定期檢查符合學校規範原則者，以及經師長糾正登記未符合學校規範原則者，得主動至學務處請求複查通過者每月均符合規範加3分，上限為15分。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惟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複查每週以一次為限。</w:t>
      </w:r>
    </w:p>
    <w:p w:rsidR="00E86FB2" w:rsidRPr="00D23937" w:rsidRDefault="00AC7846" w:rsidP="00D23937">
      <w:pPr>
        <w:snapToGrid w:val="0"/>
        <w:spacing w:line="420" w:lineRule="exact"/>
        <w:ind w:left="1200" w:hangingChars="500" w:hanging="120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第1</w:t>
      </w:r>
      <w:r w:rsidR="00D23937">
        <w:rPr>
          <w:rFonts w:ascii="標楷體" w:eastAsia="標楷體" w:hAnsi="標楷體"/>
          <w:color w:val="0D0D0D" w:themeColor="text1" w:themeTint="F2"/>
          <w:szCs w:val="24"/>
        </w:rPr>
        <w:t>0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</w:t>
      </w:r>
      <w:r w:rsidR="00C35E01" w:rsidRPr="00D23937">
        <w:rPr>
          <w:rFonts w:ascii="標楷體" w:eastAsia="標楷體" w:hAnsi="標楷體" w:hint="eastAsia"/>
          <w:color w:val="0D0D0D" w:themeColor="text1" w:themeTint="F2"/>
          <w:szCs w:val="24"/>
        </w:rPr>
        <w:t>勤學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獎勵標準如下列</w:t>
      </w:r>
    </w:p>
    <w:p w:rsidR="00E86FB2" w:rsidRPr="00D23937" w:rsidRDefault="00AC7846" w:rsidP="00D23937">
      <w:pPr>
        <w:snapToGrid w:val="0"/>
        <w:spacing w:line="420" w:lineRule="exact"/>
        <w:ind w:left="9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鼓勵學生於7:30前到達教室，且每月上課日不超過2次晚於7:30分到校參加早自習者始符合獎勵之標準加</w:t>
      </w:r>
      <w:r w:rsidR="00056BD3" w:rsidRPr="00D23937">
        <w:rPr>
          <w:rFonts w:ascii="標楷體" w:eastAsia="標楷體" w:hAnsi="標楷體" w:hint="eastAsia"/>
          <w:color w:val="0D0D0D" w:themeColor="text1" w:themeTint="F2"/>
          <w:szCs w:val="24"/>
        </w:rPr>
        <w:t>3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分（公假、生理假、防疫假等不列出缺席計算之假別不在此列），上限為1</w:t>
      </w:r>
      <w:r w:rsidR="00056BD3" w:rsidRPr="00D23937">
        <w:rPr>
          <w:rFonts w:ascii="標楷體" w:eastAsia="標楷體" w:hAnsi="標楷體" w:hint="eastAsia"/>
          <w:color w:val="0D0D0D" w:themeColor="text1" w:themeTint="F2"/>
          <w:szCs w:val="24"/>
        </w:rPr>
        <w:t>5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分。</w:t>
      </w:r>
    </w:p>
    <w:p w:rsidR="00E86FB2" w:rsidRPr="00D23937" w:rsidRDefault="00AC7846" w:rsidP="00D23937">
      <w:pPr>
        <w:snapToGrid w:val="0"/>
        <w:spacing w:line="420" w:lineRule="exact"/>
        <w:ind w:left="1200" w:hangingChars="500" w:hanging="120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第1</w:t>
      </w:r>
      <w:r w:rsidR="00D23937">
        <w:rPr>
          <w:rFonts w:ascii="標楷體" w:eastAsia="標楷體" w:hAnsi="標楷體"/>
          <w:color w:val="0D0D0D" w:themeColor="text1" w:themeTint="F2"/>
          <w:szCs w:val="24"/>
        </w:rPr>
        <w:t>1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條：刷卡率獎勵標準如下列</w:t>
      </w:r>
    </w:p>
    <w:p w:rsidR="00E86FB2" w:rsidRPr="00D23937" w:rsidRDefault="00AC7846" w:rsidP="00D23937">
      <w:pPr>
        <w:snapToGrid w:val="0"/>
        <w:spacing w:line="420" w:lineRule="exact"/>
        <w:ind w:left="96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學生每月上課日未刷卡紀錄不超過2次加2分，上限為10分。因學生證遺失造成無法刷卡之學生，於申請補辦或尋找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期間，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應主動至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圖資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組登記借用臨時卡，以維持刷卡之進行。</w:t>
      </w:r>
    </w:p>
    <w:p w:rsidR="002E379D" w:rsidRPr="00D23937" w:rsidRDefault="00817366" w:rsidP="00D23937">
      <w:pPr>
        <w:snapToGrid w:val="0"/>
        <w:spacing w:line="420" w:lineRule="exact"/>
        <w:ind w:left="1200" w:hangingChars="500" w:hanging="120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第1</w:t>
      </w:r>
      <w:r w:rsidR="00D23937">
        <w:rPr>
          <w:rFonts w:ascii="標楷體" w:eastAsia="標楷體" w:hAnsi="標楷體"/>
          <w:color w:val="0D0D0D" w:themeColor="text1" w:themeTint="F2"/>
          <w:szCs w:val="24"/>
        </w:rPr>
        <w:t>2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</w:t>
      </w:r>
      <w:r w:rsidR="002E379D" w:rsidRPr="00D23937">
        <w:rPr>
          <w:rFonts w:ascii="標楷體" w:eastAsia="標楷體" w:hAnsi="標楷體" w:hint="eastAsia"/>
          <w:color w:val="0D0D0D" w:themeColor="text1" w:themeTint="F2"/>
          <w:szCs w:val="24"/>
        </w:rPr>
        <w:t>學生操行成績以一個學期為結算日期，但學生所受獎懲事項，</w:t>
      </w:r>
      <w:proofErr w:type="gramStart"/>
      <w:r w:rsidR="002E379D" w:rsidRPr="00D23937">
        <w:rPr>
          <w:rFonts w:ascii="標楷體" w:eastAsia="標楷體" w:hAnsi="標楷體" w:hint="eastAsia"/>
          <w:color w:val="0D0D0D" w:themeColor="text1" w:themeTint="F2"/>
          <w:szCs w:val="24"/>
        </w:rPr>
        <w:t>均以學生</w:t>
      </w:r>
      <w:proofErr w:type="gramEnd"/>
      <w:r w:rsidR="002E379D" w:rsidRPr="00D23937">
        <w:rPr>
          <w:rFonts w:ascii="標楷體" w:eastAsia="標楷體" w:hAnsi="標楷體" w:hint="eastAsia"/>
          <w:color w:val="0D0D0D" w:themeColor="text1" w:themeTint="F2"/>
          <w:szCs w:val="24"/>
        </w:rPr>
        <w:t>在校期間累計，不以學期為限。</w:t>
      </w:r>
    </w:p>
    <w:p w:rsidR="002E379D" w:rsidRPr="00D23937" w:rsidRDefault="002E379D" w:rsidP="00D23937">
      <w:pPr>
        <w:snapToGrid w:val="0"/>
        <w:spacing w:line="420" w:lineRule="exact"/>
        <w:ind w:left="1200" w:hangingChars="500" w:hanging="120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第1</w:t>
      </w:r>
      <w:r w:rsidR="00D23937">
        <w:rPr>
          <w:rFonts w:ascii="標楷體" w:eastAsia="標楷體" w:hAnsi="標楷體"/>
          <w:color w:val="0D0D0D" w:themeColor="text1" w:themeTint="F2"/>
          <w:szCs w:val="24"/>
        </w:rPr>
        <w:t>3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條：學生操行成績，依本辦法第四條之規定，每學期應將學生所得實際分數，存檔備查。</w:t>
      </w:r>
    </w:p>
    <w:p w:rsidR="002E379D" w:rsidRPr="00D23937" w:rsidRDefault="002E379D" w:rsidP="00D23937">
      <w:pPr>
        <w:snapToGrid w:val="0"/>
        <w:spacing w:line="420" w:lineRule="exact"/>
        <w:ind w:left="1200" w:hangingChars="500" w:hanging="120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第1</w:t>
      </w:r>
      <w:r w:rsidR="00D23937">
        <w:rPr>
          <w:rFonts w:ascii="標楷體" w:eastAsia="標楷體" w:hAnsi="標楷體"/>
          <w:color w:val="0D0D0D" w:themeColor="text1" w:themeTint="F2"/>
          <w:szCs w:val="24"/>
        </w:rPr>
        <w:t>4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條：學生本人若發現該學期操行成績登錄，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有誤得向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導師或生輔組提出覆查，依申請程序填寫覆查申請書逐級審查，並經校長核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示後予更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正，惟須於收到成績單後兩週內向生輔組提出申請，否則不予受理。</w:t>
      </w:r>
    </w:p>
    <w:p w:rsidR="002E379D" w:rsidRPr="00D23937" w:rsidRDefault="002E379D" w:rsidP="00D23937">
      <w:pPr>
        <w:snapToGrid w:val="0"/>
        <w:spacing w:line="420" w:lineRule="exact"/>
        <w:ind w:left="1200" w:hangingChars="500" w:hanging="1200"/>
        <w:jc w:val="both"/>
        <w:rPr>
          <w:rFonts w:ascii="標楷體" w:eastAsia="標楷體" w:hAnsi="標楷體"/>
          <w:color w:val="0D0D0D" w:themeColor="text1" w:themeTint="F2"/>
          <w:szCs w:val="24"/>
        </w:rPr>
      </w:pP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第1</w:t>
      </w:r>
      <w:r w:rsidR="00D23937">
        <w:rPr>
          <w:rFonts w:ascii="標楷體" w:eastAsia="標楷體" w:hAnsi="標楷體"/>
          <w:color w:val="0D0D0D" w:themeColor="text1" w:themeTint="F2"/>
          <w:szCs w:val="24"/>
        </w:rPr>
        <w:t>5</w:t>
      </w:r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條：學生平日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所受記大功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以上之獎勵、記小過以上之懲罰、及曠課時數達二十小時(期中考前)以上者，或達三十五小時以上者(期</w:t>
      </w:r>
      <w:proofErr w:type="gramStart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未考前二</w:t>
      </w:r>
      <w:proofErr w:type="gramEnd"/>
      <w:r w:rsidRPr="00D23937">
        <w:rPr>
          <w:rFonts w:ascii="標楷體" w:eastAsia="標楷體" w:hAnsi="標楷體" w:hint="eastAsia"/>
          <w:color w:val="0D0D0D" w:themeColor="text1" w:themeTint="F2"/>
          <w:szCs w:val="24"/>
        </w:rPr>
        <w:t>週)學務處承辦人員應書面通知家長，請其分別嘉勉或訓誡，藉收學校與家長合力督導之效。</w:t>
      </w:r>
    </w:p>
    <w:p w:rsidR="0027694C" w:rsidRPr="00D23937" w:rsidRDefault="002E379D" w:rsidP="00D23937">
      <w:pPr>
        <w:snapToGrid w:val="0"/>
        <w:spacing w:line="420" w:lineRule="exact"/>
        <w:rPr>
          <w:rFonts w:ascii="標楷體" w:eastAsia="標楷體" w:hAnsi="標楷體"/>
          <w:color w:val="0D0D0D" w:themeColor="text1" w:themeTint="F2"/>
        </w:rPr>
      </w:pPr>
      <w:r w:rsidRPr="00D23937">
        <w:rPr>
          <w:rFonts w:ascii="標楷體" w:eastAsia="標楷體" w:hAnsi="標楷體" w:hint="eastAsia"/>
          <w:snapToGrid w:val="0"/>
          <w:color w:val="0D0D0D" w:themeColor="text1" w:themeTint="F2"/>
          <w:szCs w:val="24"/>
        </w:rPr>
        <w:t>第1</w:t>
      </w:r>
      <w:r w:rsidR="00D23937">
        <w:rPr>
          <w:rFonts w:ascii="標楷體" w:eastAsia="標楷體" w:hAnsi="標楷體"/>
          <w:snapToGrid w:val="0"/>
          <w:color w:val="0D0D0D" w:themeColor="text1" w:themeTint="F2"/>
          <w:szCs w:val="24"/>
        </w:rPr>
        <w:t>6</w:t>
      </w:r>
      <w:r w:rsidRPr="00D23937">
        <w:rPr>
          <w:rFonts w:ascii="標楷體" w:eastAsia="標楷體" w:hAnsi="標楷體" w:hint="eastAsia"/>
          <w:snapToGrid w:val="0"/>
          <w:color w:val="0D0D0D" w:themeColor="text1" w:themeTint="F2"/>
          <w:szCs w:val="24"/>
        </w:rPr>
        <w:t>條：本辦法經</w:t>
      </w:r>
      <w:r w:rsidR="00836AE7" w:rsidRPr="00D23937">
        <w:rPr>
          <w:rFonts w:ascii="標楷體" w:eastAsia="標楷體" w:hAnsi="標楷體" w:hint="eastAsia"/>
          <w:snapToGrid w:val="0"/>
          <w:color w:val="0D0D0D" w:themeColor="text1" w:themeTint="F2"/>
          <w:szCs w:val="24"/>
        </w:rPr>
        <w:t>校務</w:t>
      </w:r>
      <w:r w:rsidRPr="00D23937">
        <w:rPr>
          <w:rFonts w:ascii="標楷體" w:eastAsia="標楷體" w:hAnsi="標楷體" w:hint="eastAsia"/>
          <w:snapToGrid w:val="0"/>
          <w:color w:val="0D0D0D" w:themeColor="text1" w:themeTint="F2"/>
          <w:szCs w:val="24"/>
        </w:rPr>
        <w:t>會議通過後施行，修正時亦同。</w:t>
      </w:r>
    </w:p>
    <w:sectPr w:rsidR="0027694C" w:rsidRPr="00D23937" w:rsidSect="002212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16" w:rsidRDefault="00424816" w:rsidP="008D2C01">
      <w:r>
        <w:separator/>
      </w:r>
    </w:p>
  </w:endnote>
  <w:endnote w:type="continuationSeparator" w:id="0">
    <w:p w:rsidR="00424816" w:rsidRDefault="00424816" w:rsidP="008D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16" w:rsidRDefault="00424816" w:rsidP="008D2C01">
      <w:r>
        <w:separator/>
      </w:r>
    </w:p>
  </w:footnote>
  <w:footnote w:type="continuationSeparator" w:id="0">
    <w:p w:rsidR="00424816" w:rsidRDefault="00424816" w:rsidP="008D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124"/>
    <w:multiLevelType w:val="hybridMultilevel"/>
    <w:tmpl w:val="E8189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667D4"/>
    <w:multiLevelType w:val="hybridMultilevel"/>
    <w:tmpl w:val="30385724"/>
    <w:lvl w:ilvl="0" w:tplc="2606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2E66C7"/>
    <w:multiLevelType w:val="hybridMultilevel"/>
    <w:tmpl w:val="12825194"/>
    <w:lvl w:ilvl="0" w:tplc="41FCAE3E">
      <w:start w:val="5"/>
      <w:numFmt w:val="japaneseLegal"/>
      <w:lvlText w:val="%1、"/>
      <w:lvlJc w:val="left"/>
      <w:pPr>
        <w:ind w:left="576" w:hanging="57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AB"/>
    <w:rsid w:val="00014E45"/>
    <w:rsid w:val="00026D25"/>
    <w:rsid w:val="0004499D"/>
    <w:rsid w:val="00054945"/>
    <w:rsid w:val="00056BD3"/>
    <w:rsid w:val="00094FCB"/>
    <w:rsid w:val="00113EB6"/>
    <w:rsid w:val="00156AE8"/>
    <w:rsid w:val="00160204"/>
    <w:rsid w:val="001702E5"/>
    <w:rsid w:val="00172327"/>
    <w:rsid w:val="00210B8A"/>
    <w:rsid w:val="0022128D"/>
    <w:rsid w:val="0027694C"/>
    <w:rsid w:val="002D033A"/>
    <w:rsid w:val="002D7C4D"/>
    <w:rsid w:val="002E379D"/>
    <w:rsid w:val="002F014B"/>
    <w:rsid w:val="003051E4"/>
    <w:rsid w:val="00370ADF"/>
    <w:rsid w:val="003A6D9E"/>
    <w:rsid w:val="003F2849"/>
    <w:rsid w:val="00405B54"/>
    <w:rsid w:val="00424816"/>
    <w:rsid w:val="00426659"/>
    <w:rsid w:val="0051692D"/>
    <w:rsid w:val="005A60BA"/>
    <w:rsid w:val="005B731D"/>
    <w:rsid w:val="005F4947"/>
    <w:rsid w:val="00663A53"/>
    <w:rsid w:val="006C3224"/>
    <w:rsid w:val="006C37BC"/>
    <w:rsid w:val="006D545E"/>
    <w:rsid w:val="006E6E9F"/>
    <w:rsid w:val="00720055"/>
    <w:rsid w:val="00747C4F"/>
    <w:rsid w:val="007669B3"/>
    <w:rsid w:val="007873A4"/>
    <w:rsid w:val="00792F0C"/>
    <w:rsid w:val="007A43A0"/>
    <w:rsid w:val="007A468C"/>
    <w:rsid w:val="007C63B6"/>
    <w:rsid w:val="007E6AEA"/>
    <w:rsid w:val="00817366"/>
    <w:rsid w:val="0082069F"/>
    <w:rsid w:val="00836AE7"/>
    <w:rsid w:val="008B1BD5"/>
    <w:rsid w:val="008B397A"/>
    <w:rsid w:val="008C3894"/>
    <w:rsid w:val="008C79B4"/>
    <w:rsid w:val="008D2C01"/>
    <w:rsid w:val="008F0375"/>
    <w:rsid w:val="008F6729"/>
    <w:rsid w:val="00A20577"/>
    <w:rsid w:val="00A40226"/>
    <w:rsid w:val="00A861AB"/>
    <w:rsid w:val="00AC7846"/>
    <w:rsid w:val="00AF7FA7"/>
    <w:rsid w:val="00B40895"/>
    <w:rsid w:val="00B63FA8"/>
    <w:rsid w:val="00B64AF8"/>
    <w:rsid w:val="00BA4C9B"/>
    <w:rsid w:val="00BB73F3"/>
    <w:rsid w:val="00BC4CFF"/>
    <w:rsid w:val="00C0251A"/>
    <w:rsid w:val="00C24FDC"/>
    <w:rsid w:val="00C35E01"/>
    <w:rsid w:val="00C37080"/>
    <w:rsid w:val="00C81B95"/>
    <w:rsid w:val="00C97E68"/>
    <w:rsid w:val="00D23937"/>
    <w:rsid w:val="00DE04C7"/>
    <w:rsid w:val="00E06EA0"/>
    <w:rsid w:val="00E14EF0"/>
    <w:rsid w:val="00E73D1B"/>
    <w:rsid w:val="00E86FB2"/>
    <w:rsid w:val="00EA7A0D"/>
    <w:rsid w:val="00F07AD1"/>
    <w:rsid w:val="00F13FC0"/>
    <w:rsid w:val="00F25C24"/>
    <w:rsid w:val="00F66A57"/>
    <w:rsid w:val="00F8596B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BF15"/>
  <w15:chartTrackingRefBased/>
  <w15:docId w15:val="{B9F3E5BA-2FE7-4A3C-80A4-BC32DC13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C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2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2C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2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2C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2022-06-22T06:58:00Z</cp:lastPrinted>
  <dcterms:created xsi:type="dcterms:W3CDTF">2022-06-27T01:00:00Z</dcterms:created>
  <dcterms:modified xsi:type="dcterms:W3CDTF">2022-07-19T00:16:00Z</dcterms:modified>
</cp:coreProperties>
</file>