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8E" w:rsidRPr="0020728E" w:rsidRDefault="0020728E" w:rsidP="0020728E">
      <w:pPr>
        <w:snapToGrid w:val="0"/>
        <w:jc w:val="center"/>
        <w:rPr>
          <w:rFonts w:ascii="Times New Roman" w:hAnsi="標楷體" w:hint="eastAsia"/>
          <w:b/>
          <w:sz w:val="28"/>
          <w:szCs w:val="24"/>
          <w:u w:val="none"/>
        </w:rPr>
      </w:pPr>
      <w:r w:rsidRPr="0020728E">
        <w:rPr>
          <w:rFonts w:ascii="Times New Roman" w:hAnsi="標楷體" w:hint="eastAsia"/>
          <w:b/>
          <w:sz w:val="28"/>
          <w:szCs w:val="24"/>
          <w:u w:val="none"/>
        </w:rPr>
        <w:t>臺北市私立靜心高級中學</w:t>
      </w:r>
      <w:r>
        <w:rPr>
          <w:rFonts w:ascii="Times New Roman" w:hAnsi="標楷體" w:hint="eastAsia"/>
          <w:b/>
          <w:sz w:val="28"/>
          <w:szCs w:val="24"/>
          <w:u w:val="none"/>
        </w:rPr>
        <w:t>（中學部）</w:t>
      </w:r>
      <w:r w:rsidRPr="0020728E">
        <w:rPr>
          <w:rFonts w:ascii="Times New Roman" w:hAnsi="標楷體" w:hint="eastAsia"/>
          <w:b/>
          <w:sz w:val="28"/>
          <w:szCs w:val="24"/>
          <w:u w:val="none"/>
        </w:rPr>
        <w:t>學生參加校內外競賽獎勵標準</w:t>
      </w:r>
    </w:p>
    <w:p w:rsidR="0020728E" w:rsidRPr="0020728E" w:rsidRDefault="0020728E" w:rsidP="0020728E">
      <w:pPr>
        <w:snapToGrid w:val="0"/>
        <w:jc w:val="center"/>
        <w:rPr>
          <w:rFonts w:ascii="Times New Roman" w:hAnsi="標楷體"/>
          <w:b/>
          <w:sz w:val="28"/>
          <w:szCs w:val="24"/>
          <w:u w:val="none"/>
        </w:rPr>
      </w:pPr>
    </w:p>
    <w:p w:rsidR="0020728E" w:rsidRPr="0020728E" w:rsidRDefault="0020728E" w:rsidP="0020728E">
      <w:pPr>
        <w:snapToGrid w:val="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一、實施依據：</w:t>
      </w:r>
    </w:p>
    <w:p w:rsidR="0020728E" w:rsidRPr="0020728E" w:rsidRDefault="0020728E" w:rsidP="0020728E">
      <w:pPr>
        <w:snapToGrid w:val="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（一）本校校務發展計畫及學校願景</w:t>
      </w:r>
      <w:proofErr w:type="gramStart"/>
      <w:r w:rsidRPr="0020728E">
        <w:rPr>
          <w:rFonts w:hint="eastAsia"/>
          <w:szCs w:val="24"/>
          <w:u w:val="none"/>
        </w:rPr>
        <w:t>研</w:t>
      </w:r>
      <w:proofErr w:type="gramEnd"/>
      <w:r w:rsidRPr="0020728E">
        <w:rPr>
          <w:rFonts w:hint="eastAsia"/>
          <w:szCs w:val="24"/>
          <w:u w:val="none"/>
        </w:rPr>
        <w:t>訂之。</w:t>
      </w:r>
    </w:p>
    <w:p w:rsidR="0020728E" w:rsidRPr="0020728E" w:rsidRDefault="0020728E" w:rsidP="0020728E">
      <w:pPr>
        <w:snapToGrid w:val="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（二）本校學生獎懲實施要點。</w:t>
      </w:r>
    </w:p>
    <w:p w:rsidR="0020728E" w:rsidRPr="0020728E" w:rsidRDefault="0020728E" w:rsidP="0020728E">
      <w:pPr>
        <w:snapToGrid w:val="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（三）本校榮譽制度。</w:t>
      </w:r>
      <w:bookmarkStart w:id="0" w:name="_GoBack"/>
      <w:bookmarkEnd w:id="0"/>
    </w:p>
    <w:p w:rsidR="0020728E" w:rsidRPr="0020728E" w:rsidRDefault="0020728E" w:rsidP="0020728E">
      <w:pPr>
        <w:snapToGrid w:val="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二、實施目的：</w:t>
      </w:r>
    </w:p>
    <w:p w:rsidR="0020728E" w:rsidRPr="0020728E" w:rsidRDefault="0020728E" w:rsidP="0020728E">
      <w:pPr>
        <w:snapToGrid w:val="0"/>
        <w:rPr>
          <w:rFonts w:hint="eastAsia"/>
          <w:szCs w:val="24"/>
          <w:u w:val="none"/>
        </w:rPr>
      </w:pPr>
      <w:r w:rsidRPr="0020728E">
        <w:rPr>
          <w:rFonts w:hint="eastAsia"/>
          <w:szCs w:val="24"/>
          <w:u w:val="none"/>
        </w:rPr>
        <w:t>（一）</w:t>
      </w:r>
      <w:r w:rsidRPr="0020728E">
        <w:rPr>
          <w:rFonts w:hint="eastAsia"/>
          <w:szCs w:val="24"/>
          <w:u w:val="none"/>
        </w:rPr>
        <w:t>以積極的方式鼓勵學生參加校內外競賽。</w:t>
      </w:r>
    </w:p>
    <w:p w:rsidR="0020728E" w:rsidRPr="0020728E" w:rsidRDefault="0020728E" w:rsidP="0020728E">
      <w:pPr>
        <w:snapToGrid w:val="0"/>
        <w:rPr>
          <w:rFonts w:hint="eastAsia"/>
          <w:szCs w:val="24"/>
          <w:u w:val="none"/>
        </w:rPr>
      </w:pPr>
      <w:r w:rsidRPr="0020728E">
        <w:rPr>
          <w:rFonts w:hint="eastAsia"/>
          <w:szCs w:val="24"/>
          <w:u w:val="none"/>
        </w:rPr>
        <w:t>（二）</w:t>
      </w:r>
      <w:r w:rsidRPr="0020728E">
        <w:rPr>
          <w:rFonts w:hint="eastAsia"/>
          <w:szCs w:val="24"/>
          <w:u w:val="none"/>
        </w:rPr>
        <w:t>配合本校榮譽制度及學生獎懲之理念。</w:t>
      </w:r>
    </w:p>
    <w:p w:rsidR="0020728E" w:rsidRPr="0020728E" w:rsidRDefault="0020728E" w:rsidP="0020728E">
      <w:pPr>
        <w:snapToGrid w:val="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（三）</w:t>
      </w:r>
      <w:r w:rsidRPr="0020728E">
        <w:rPr>
          <w:rFonts w:hint="eastAsia"/>
          <w:szCs w:val="24"/>
          <w:u w:val="none"/>
        </w:rPr>
        <w:t>結合班級經營理念，協助教師落實提升學生榮譽感。</w:t>
      </w:r>
    </w:p>
    <w:p w:rsidR="0020728E" w:rsidRPr="0020728E" w:rsidRDefault="0020728E" w:rsidP="0020728E">
      <w:pPr>
        <w:snapToGrid w:val="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三、獎勵對象：中學部全體學生</w:t>
      </w:r>
    </w:p>
    <w:p w:rsidR="0020728E" w:rsidRPr="0020728E" w:rsidRDefault="0020728E" w:rsidP="0020728E">
      <w:pPr>
        <w:snapToGrid w:val="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四、獎勵標準：</w:t>
      </w:r>
    </w:p>
    <w:p w:rsidR="0020728E" w:rsidRPr="0020728E" w:rsidRDefault="0020728E" w:rsidP="0020728E">
      <w:pPr>
        <w:snapToGrid w:val="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（一）分級：共分五級</w:t>
      </w:r>
    </w:p>
    <w:p w:rsidR="0020728E" w:rsidRPr="0020728E" w:rsidRDefault="0020728E" w:rsidP="0020728E">
      <w:pPr>
        <w:snapToGrid w:val="0"/>
        <w:ind w:leftChars="600" w:left="144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第一級：國際性（包含各國、各洲際）</w:t>
      </w:r>
    </w:p>
    <w:p w:rsidR="0020728E" w:rsidRPr="0020728E" w:rsidRDefault="0020728E" w:rsidP="0020728E">
      <w:pPr>
        <w:snapToGrid w:val="0"/>
        <w:ind w:leftChars="600" w:left="144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第二級：全國性</w:t>
      </w:r>
    </w:p>
    <w:p w:rsidR="0020728E" w:rsidRPr="0020728E" w:rsidRDefault="0020728E" w:rsidP="0020728E">
      <w:pPr>
        <w:snapToGrid w:val="0"/>
        <w:ind w:leftChars="600" w:left="144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第三級：全市性、市分區性（東西南北區）</w:t>
      </w:r>
    </w:p>
    <w:p w:rsidR="0020728E" w:rsidRPr="0020728E" w:rsidRDefault="0020728E" w:rsidP="0020728E">
      <w:pPr>
        <w:snapToGrid w:val="0"/>
        <w:ind w:leftChars="600" w:left="144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第四級：市區域性（以行政區劃分）</w:t>
      </w:r>
    </w:p>
    <w:p w:rsidR="0020728E" w:rsidRPr="0020728E" w:rsidRDefault="0020728E" w:rsidP="0020728E">
      <w:pPr>
        <w:snapToGrid w:val="0"/>
        <w:ind w:leftChars="600" w:left="144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第五級：校內分項</w:t>
      </w:r>
    </w:p>
    <w:p w:rsidR="0020728E" w:rsidRPr="0020728E" w:rsidRDefault="0020728E" w:rsidP="0020728E">
      <w:pPr>
        <w:snapToGrid w:val="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（二）標準：</w:t>
      </w:r>
    </w:p>
    <w:p w:rsidR="0020728E" w:rsidRPr="0020728E" w:rsidRDefault="0020728E" w:rsidP="0020728E">
      <w:pPr>
        <w:snapToGrid w:val="0"/>
        <w:ind w:leftChars="300" w:left="72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公家單位定義：政府機構或政府認可之機構所主辦的比賽，如教育部、教育局、各運動單項委員會等。</w:t>
      </w:r>
    </w:p>
    <w:p w:rsidR="0020728E" w:rsidRPr="0020728E" w:rsidRDefault="0020728E" w:rsidP="0020728E">
      <w:pPr>
        <w:snapToGrid w:val="0"/>
        <w:spacing w:afterLines="100" w:after="360"/>
        <w:ind w:leftChars="300" w:left="72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團體組定義：</w:t>
      </w:r>
      <w:r w:rsidRPr="0020728E">
        <w:rPr>
          <w:szCs w:val="24"/>
          <w:u w:val="none"/>
        </w:rPr>
        <w:t>6</w:t>
      </w:r>
      <w:r w:rsidRPr="0020728E">
        <w:rPr>
          <w:rFonts w:hint="eastAsia"/>
          <w:szCs w:val="24"/>
          <w:u w:val="none"/>
        </w:rPr>
        <w:t>個人以上所參加的團體競賽，有參與比賽者。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8"/>
        <w:gridCol w:w="1269"/>
        <w:gridCol w:w="1924"/>
        <w:gridCol w:w="1924"/>
        <w:gridCol w:w="1925"/>
      </w:tblGrid>
      <w:tr w:rsidR="0020728E" w:rsidRPr="0020728E" w:rsidTr="0020728E"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類別</w:t>
            </w:r>
          </w:p>
        </w:tc>
        <w:tc>
          <w:tcPr>
            <w:tcW w:w="12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組別</w:t>
            </w:r>
          </w:p>
        </w:tc>
        <w:tc>
          <w:tcPr>
            <w:tcW w:w="19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名次</w:t>
            </w:r>
          </w:p>
        </w:tc>
        <w:tc>
          <w:tcPr>
            <w:tcW w:w="19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公家單位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主辦獎項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私人單位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主辦獎項</w:t>
            </w:r>
          </w:p>
        </w:tc>
      </w:tr>
      <w:tr w:rsidR="0020728E" w:rsidRPr="0020728E" w:rsidTr="0020728E">
        <w:trPr>
          <w:trHeight w:val="227"/>
        </w:trPr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第一級</w:t>
            </w:r>
          </w:p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國際性（包含各國、各洲際）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團體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（個人）</w:t>
            </w:r>
          </w:p>
        </w:tc>
        <w:tc>
          <w:tcPr>
            <w:tcW w:w="1924" w:type="dxa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1924" w:type="dxa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大功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大功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128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69" w:type="dxa"/>
            <w:vMerge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大功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小功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128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69" w:type="dxa"/>
            <w:vMerge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3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小功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小功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308"/>
        </w:trPr>
        <w:tc>
          <w:tcPr>
            <w:tcW w:w="11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69" w:type="dxa"/>
            <w:vMerge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924" w:type="dxa"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4</w:t>
            </w:r>
            <w:r w:rsidRPr="0020728E">
              <w:rPr>
                <w:rFonts w:hint="eastAsia"/>
                <w:szCs w:val="24"/>
                <w:u w:val="none"/>
              </w:rPr>
              <w:t>～</w:t>
            </w:r>
            <w:r w:rsidRPr="0020728E">
              <w:rPr>
                <w:szCs w:val="24"/>
                <w:u w:val="none"/>
              </w:rPr>
              <w:t>6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（含佳作）</w:t>
            </w:r>
          </w:p>
        </w:tc>
        <w:tc>
          <w:tcPr>
            <w:tcW w:w="1924" w:type="dxa"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小功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251"/>
        </w:trPr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第二級</w:t>
            </w:r>
          </w:p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全國性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團體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（個人）</w:t>
            </w:r>
          </w:p>
        </w:tc>
        <w:tc>
          <w:tcPr>
            <w:tcW w:w="1924" w:type="dxa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1924" w:type="dxa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大功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小功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128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69" w:type="dxa"/>
            <w:vMerge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小功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小功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128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69" w:type="dxa"/>
            <w:vMerge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3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小功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1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69" w:type="dxa"/>
            <w:vMerge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924" w:type="dxa"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4</w:t>
            </w:r>
            <w:r w:rsidRPr="0020728E">
              <w:rPr>
                <w:rFonts w:hint="eastAsia"/>
                <w:szCs w:val="24"/>
                <w:u w:val="none"/>
              </w:rPr>
              <w:t>～</w:t>
            </w:r>
            <w:r w:rsidRPr="0020728E">
              <w:rPr>
                <w:szCs w:val="24"/>
                <w:u w:val="none"/>
              </w:rPr>
              <w:t>6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（含佳作）</w:t>
            </w:r>
          </w:p>
        </w:tc>
        <w:tc>
          <w:tcPr>
            <w:tcW w:w="1924" w:type="dxa"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334"/>
        </w:trPr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第三級</w:t>
            </w:r>
          </w:p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全市性、市分區性（東西南北區各國</w:t>
            </w:r>
            <w:r w:rsidRPr="0020728E">
              <w:rPr>
                <w:rFonts w:hint="eastAsia"/>
                <w:szCs w:val="24"/>
                <w:u w:val="none"/>
              </w:rPr>
              <w:lastRenderedPageBreak/>
              <w:t>中均參加者）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lastRenderedPageBreak/>
              <w:t>團體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（個人）</w:t>
            </w:r>
          </w:p>
        </w:tc>
        <w:tc>
          <w:tcPr>
            <w:tcW w:w="1924" w:type="dxa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1924" w:type="dxa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小功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128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69" w:type="dxa"/>
            <w:vMerge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次，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優點</w:t>
            </w:r>
            <w:r w:rsidRPr="0020728E">
              <w:rPr>
                <w:szCs w:val="24"/>
                <w:u w:val="none"/>
              </w:rPr>
              <w:t>20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128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69" w:type="dxa"/>
            <w:vMerge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3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次，優點</w:t>
            </w:r>
            <w:r w:rsidRPr="0020728E">
              <w:rPr>
                <w:szCs w:val="24"/>
                <w:u w:val="none"/>
              </w:rPr>
              <w:t>20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1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69" w:type="dxa"/>
            <w:vMerge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924" w:type="dxa"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4</w:t>
            </w:r>
            <w:r w:rsidRPr="0020728E">
              <w:rPr>
                <w:rFonts w:hint="eastAsia"/>
                <w:szCs w:val="24"/>
                <w:u w:val="none"/>
              </w:rPr>
              <w:t>～</w:t>
            </w:r>
            <w:r w:rsidRPr="0020728E">
              <w:rPr>
                <w:szCs w:val="24"/>
                <w:u w:val="none"/>
              </w:rPr>
              <w:t>6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（含佳作）</w:t>
            </w:r>
          </w:p>
        </w:tc>
        <w:tc>
          <w:tcPr>
            <w:tcW w:w="1924" w:type="dxa"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優點</w:t>
            </w:r>
            <w:r w:rsidRPr="0020728E">
              <w:rPr>
                <w:szCs w:val="24"/>
                <w:u w:val="none"/>
              </w:rPr>
              <w:t>20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309"/>
        </w:trPr>
        <w:tc>
          <w:tcPr>
            <w:tcW w:w="112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lastRenderedPageBreak/>
              <w:t>第四級</w:t>
            </w:r>
          </w:p>
          <w:p w:rsidR="0020728E" w:rsidRPr="0020728E" w:rsidRDefault="0020728E" w:rsidP="0020728E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市區域性（以行政區劃分，如文山區）</w:t>
            </w:r>
          </w:p>
        </w:tc>
        <w:tc>
          <w:tcPr>
            <w:tcW w:w="1269" w:type="dxa"/>
            <w:vMerge w:val="restart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團體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（個人）</w:t>
            </w:r>
          </w:p>
        </w:tc>
        <w:tc>
          <w:tcPr>
            <w:tcW w:w="1924" w:type="dxa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1924" w:type="dxa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128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rPr>
                <w:szCs w:val="24"/>
                <w:u w:val="none"/>
              </w:rPr>
            </w:pPr>
          </w:p>
        </w:tc>
        <w:tc>
          <w:tcPr>
            <w:tcW w:w="1269" w:type="dxa"/>
            <w:vMerge/>
            <w:vAlign w:val="center"/>
          </w:tcPr>
          <w:p w:rsidR="0020728E" w:rsidRPr="0020728E" w:rsidRDefault="0020728E" w:rsidP="00A62DD1">
            <w:pPr>
              <w:rPr>
                <w:szCs w:val="24"/>
                <w:u w:val="none"/>
              </w:rPr>
            </w:pP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次，優點</w:t>
            </w:r>
            <w:r w:rsidRPr="0020728E">
              <w:rPr>
                <w:szCs w:val="24"/>
                <w:u w:val="none"/>
              </w:rPr>
              <w:t>20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128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rPr>
                <w:szCs w:val="24"/>
                <w:u w:val="none"/>
              </w:rPr>
            </w:pPr>
          </w:p>
        </w:tc>
        <w:tc>
          <w:tcPr>
            <w:tcW w:w="1269" w:type="dxa"/>
            <w:vMerge/>
            <w:vAlign w:val="center"/>
          </w:tcPr>
          <w:p w:rsidR="0020728E" w:rsidRPr="0020728E" w:rsidRDefault="0020728E" w:rsidP="00A62DD1">
            <w:pPr>
              <w:rPr>
                <w:szCs w:val="24"/>
                <w:u w:val="none"/>
              </w:rPr>
            </w:pP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3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1924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優點</w:t>
            </w:r>
            <w:r w:rsidRPr="0020728E">
              <w:rPr>
                <w:szCs w:val="24"/>
                <w:u w:val="none"/>
              </w:rPr>
              <w:t>20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12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rPr>
                <w:szCs w:val="24"/>
                <w:u w:val="none"/>
              </w:rPr>
            </w:pPr>
          </w:p>
        </w:tc>
        <w:tc>
          <w:tcPr>
            <w:tcW w:w="1269" w:type="dxa"/>
            <w:vMerge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rPr>
                <w:szCs w:val="24"/>
                <w:u w:val="none"/>
              </w:rPr>
            </w:pPr>
          </w:p>
        </w:tc>
        <w:tc>
          <w:tcPr>
            <w:tcW w:w="1924" w:type="dxa"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4</w:t>
            </w:r>
            <w:r w:rsidRPr="0020728E">
              <w:rPr>
                <w:rFonts w:hint="eastAsia"/>
                <w:szCs w:val="24"/>
                <w:u w:val="none"/>
              </w:rPr>
              <w:t>～</w:t>
            </w:r>
            <w:r w:rsidRPr="0020728E">
              <w:rPr>
                <w:szCs w:val="24"/>
                <w:u w:val="none"/>
              </w:rPr>
              <w:t>6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（含佳作）</w:t>
            </w:r>
          </w:p>
        </w:tc>
        <w:tc>
          <w:tcPr>
            <w:tcW w:w="1924" w:type="dxa"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優點</w:t>
            </w:r>
            <w:r w:rsidRPr="0020728E">
              <w:rPr>
                <w:szCs w:val="24"/>
                <w:u w:val="none"/>
              </w:rPr>
              <w:t>20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  <w:tc>
          <w:tcPr>
            <w:tcW w:w="192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優點</w:t>
            </w:r>
            <w:r w:rsidRPr="0020728E">
              <w:rPr>
                <w:szCs w:val="24"/>
                <w:u w:val="none"/>
              </w:rPr>
              <w:t>10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</w:tbl>
    <w:tbl>
      <w:tblPr>
        <w:tblpPr w:leftFromText="180" w:rightFromText="180" w:vertAnchor="text" w:horzAnchor="margin" w:tblpX="250" w:tblpY="2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76"/>
        <w:gridCol w:w="2126"/>
        <w:gridCol w:w="3402"/>
      </w:tblGrid>
      <w:tr w:rsidR="0020728E" w:rsidRPr="0020728E" w:rsidTr="0020728E"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類別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組別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名次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</w:tr>
      <w:tr w:rsidR="0020728E" w:rsidRPr="0020728E" w:rsidTr="0020728E">
        <w:trPr>
          <w:trHeight w:val="89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第五級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校內分項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團體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310"/>
        </w:trPr>
        <w:tc>
          <w:tcPr>
            <w:tcW w:w="1384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76" w:type="dxa"/>
            <w:vMerge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2126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優點</w:t>
            </w:r>
            <w:r w:rsidRPr="0020728E">
              <w:rPr>
                <w:szCs w:val="24"/>
                <w:u w:val="none"/>
              </w:rPr>
              <w:t>20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384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76" w:type="dxa"/>
            <w:vMerge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2126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3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優點</w:t>
            </w:r>
            <w:r w:rsidRPr="0020728E">
              <w:rPr>
                <w:szCs w:val="24"/>
                <w:u w:val="none"/>
              </w:rPr>
              <w:t>10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88"/>
        </w:trPr>
        <w:tc>
          <w:tcPr>
            <w:tcW w:w="1384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76" w:type="dxa"/>
            <w:vMerge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2126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4</w:t>
            </w:r>
            <w:r w:rsidRPr="0020728E">
              <w:rPr>
                <w:rFonts w:hint="eastAsia"/>
                <w:szCs w:val="24"/>
                <w:u w:val="none"/>
              </w:rPr>
              <w:t>～</w:t>
            </w:r>
            <w:r w:rsidRPr="0020728E">
              <w:rPr>
                <w:szCs w:val="24"/>
                <w:u w:val="none"/>
              </w:rPr>
              <w:t>6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（含佳作）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優點</w:t>
            </w:r>
            <w:r w:rsidRPr="0020728E">
              <w:rPr>
                <w:szCs w:val="24"/>
                <w:u w:val="none"/>
              </w:rPr>
              <w:t>5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535"/>
        </w:trPr>
        <w:tc>
          <w:tcPr>
            <w:tcW w:w="1384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76" w:type="dxa"/>
            <w:vMerge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2126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整潔秩序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比賽優勝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獲任</w:t>
            </w:r>
            <w:proofErr w:type="gramStart"/>
            <w:r w:rsidRPr="0020728E">
              <w:rPr>
                <w:rFonts w:hint="eastAsia"/>
                <w:szCs w:val="24"/>
                <w:u w:val="none"/>
              </w:rPr>
              <w:t>一</w:t>
            </w:r>
            <w:proofErr w:type="gramEnd"/>
            <w:r w:rsidRPr="0020728E">
              <w:rPr>
                <w:rFonts w:hint="eastAsia"/>
                <w:szCs w:val="24"/>
                <w:u w:val="none"/>
              </w:rPr>
              <w:t>單項優勝班級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每位同學</w:t>
            </w:r>
            <w:proofErr w:type="gramStart"/>
            <w:r w:rsidRPr="0020728E">
              <w:rPr>
                <w:rFonts w:hint="eastAsia"/>
                <w:szCs w:val="24"/>
                <w:u w:val="none"/>
              </w:rPr>
              <w:t>記優點</w:t>
            </w:r>
            <w:proofErr w:type="gramEnd"/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148"/>
        </w:trPr>
        <w:tc>
          <w:tcPr>
            <w:tcW w:w="1384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個人</w:t>
            </w:r>
          </w:p>
        </w:tc>
        <w:tc>
          <w:tcPr>
            <w:tcW w:w="2126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102"/>
        </w:trPr>
        <w:tc>
          <w:tcPr>
            <w:tcW w:w="1384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76" w:type="dxa"/>
            <w:vMerge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2126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2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次，優點</w:t>
            </w:r>
            <w:r w:rsidRPr="0020728E">
              <w:rPr>
                <w:szCs w:val="24"/>
                <w:u w:val="none"/>
              </w:rPr>
              <w:t>20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102"/>
        </w:trPr>
        <w:tc>
          <w:tcPr>
            <w:tcW w:w="1384" w:type="dxa"/>
            <w:vMerge/>
            <w:tcBorders>
              <w:lef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76" w:type="dxa"/>
            <w:vMerge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2126" w:type="dxa"/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3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嘉獎</w:t>
            </w:r>
            <w:r w:rsidRPr="0020728E">
              <w:rPr>
                <w:szCs w:val="24"/>
                <w:u w:val="none"/>
              </w:rPr>
              <w:t>1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  <w:tr w:rsidR="0020728E" w:rsidRPr="0020728E" w:rsidTr="0020728E">
        <w:trPr>
          <w:trHeight w:val="74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第</w:t>
            </w:r>
            <w:r w:rsidRPr="0020728E">
              <w:rPr>
                <w:szCs w:val="24"/>
                <w:u w:val="none"/>
              </w:rPr>
              <w:t>4</w:t>
            </w:r>
            <w:r w:rsidRPr="0020728E">
              <w:rPr>
                <w:rFonts w:hint="eastAsia"/>
                <w:szCs w:val="24"/>
                <w:u w:val="none"/>
              </w:rPr>
              <w:t>～</w:t>
            </w:r>
            <w:r w:rsidRPr="0020728E">
              <w:rPr>
                <w:szCs w:val="24"/>
                <w:u w:val="none"/>
              </w:rPr>
              <w:t>6</w:t>
            </w:r>
            <w:r w:rsidRPr="0020728E">
              <w:rPr>
                <w:rFonts w:hint="eastAsia"/>
                <w:szCs w:val="24"/>
                <w:u w:val="none"/>
              </w:rPr>
              <w:t>名</w:t>
            </w:r>
          </w:p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（含佳作）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728E" w:rsidRPr="0020728E" w:rsidRDefault="0020728E" w:rsidP="00A62DD1">
            <w:pPr>
              <w:jc w:val="center"/>
              <w:rPr>
                <w:szCs w:val="24"/>
                <w:u w:val="none"/>
              </w:rPr>
            </w:pPr>
            <w:r w:rsidRPr="0020728E">
              <w:rPr>
                <w:rFonts w:hint="eastAsia"/>
                <w:szCs w:val="24"/>
                <w:u w:val="none"/>
              </w:rPr>
              <w:t>優點</w:t>
            </w:r>
            <w:r w:rsidRPr="0020728E">
              <w:rPr>
                <w:szCs w:val="24"/>
                <w:u w:val="none"/>
              </w:rPr>
              <w:t>20</w:t>
            </w:r>
            <w:r w:rsidRPr="0020728E">
              <w:rPr>
                <w:rFonts w:hint="eastAsia"/>
                <w:szCs w:val="24"/>
                <w:u w:val="none"/>
              </w:rPr>
              <w:t>次</w:t>
            </w:r>
          </w:p>
        </w:tc>
      </w:tr>
    </w:tbl>
    <w:p w:rsidR="0020728E" w:rsidRPr="0020728E" w:rsidRDefault="0020728E" w:rsidP="0020728E">
      <w:pPr>
        <w:rPr>
          <w:szCs w:val="24"/>
          <w:u w:val="none"/>
        </w:rPr>
      </w:pPr>
    </w:p>
    <w:p w:rsidR="0020728E" w:rsidRPr="0020728E" w:rsidRDefault="0020728E" w:rsidP="0020728E">
      <w:pPr>
        <w:rPr>
          <w:vanish/>
          <w:szCs w:val="24"/>
          <w:u w:val="none"/>
        </w:rPr>
      </w:pPr>
    </w:p>
    <w:p w:rsidR="0020728E" w:rsidRPr="0020728E" w:rsidRDefault="0020728E" w:rsidP="0020728E">
      <w:pPr>
        <w:snapToGrid w:val="0"/>
        <w:ind w:left="720" w:hangingChars="300" w:hanging="720"/>
        <w:jc w:val="both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（三）不記名次而以等第入選者：比賽名次如為特優，比照第一名獎勵；優等（優選）比照第</w:t>
      </w:r>
      <w:r w:rsidRPr="0020728E">
        <w:rPr>
          <w:szCs w:val="24"/>
          <w:u w:val="none"/>
        </w:rPr>
        <w:t>3</w:t>
      </w:r>
      <w:r w:rsidRPr="0020728E">
        <w:rPr>
          <w:rFonts w:hint="eastAsia"/>
          <w:szCs w:val="24"/>
          <w:u w:val="none"/>
        </w:rPr>
        <w:t>名獎勵；甲等佳作比照第</w:t>
      </w:r>
      <w:r w:rsidRPr="0020728E">
        <w:rPr>
          <w:szCs w:val="24"/>
          <w:u w:val="none"/>
        </w:rPr>
        <w:t>4</w:t>
      </w:r>
      <w:r w:rsidRPr="0020728E">
        <w:rPr>
          <w:rFonts w:hint="eastAsia"/>
          <w:szCs w:val="24"/>
          <w:u w:val="none"/>
        </w:rPr>
        <w:t>名獎勵。若可提出名次判定相關文件，則依照實際名次給予獎勵，若名次人數非單一，以實際情況敘獎。</w:t>
      </w:r>
    </w:p>
    <w:p w:rsidR="0020728E" w:rsidRPr="0020728E" w:rsidRDefault="0020728E" w:rsidP="0020728E">
      <w:pPr>
        <w:snapToGrid w:val="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五、獎勵原則：</w:t>
      </w:r>
    </w:p>
    <w:p w:rsidR="0020728E" w:rsidRPr="0020728E" w:rsidRDefault="0020728E" w:rsidP="0020728E">
      <w:pPr>
        <w:snapToGrid w:val="0"/>
        <w:ind w:left="720" w:hangingChars="300" w:hanging="720"/>
        <w:jc w:val="both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（一）上列得獎標準應名列參賽總人（隊）數前</w:t>
      </w:r>
      <w:r w:rsidRPr="0020728E">
        <w:rPr>
          <w:szCs w:val="24"/>
          <w:u w:val="none"/>
        </w:rPr>
        <w:t>1/3</w:t>
      </w:r>
      <w:r w:rsidRPr="0020728E">
        <w:rPr>
          <w:rFonts w:hint="eastAsia"/>
          <w:szCs w:val="24"/>
          <w:u w:val="none"/>
        </w:rPr>
        <w:t>之名次，</w:t>
      </w:r>
      <w:proofErr w:type="gramStart"/>
      <w:r w:rsidRPr="0020728E">
        <w:rPr>
          <w:rFonts w:hint="eastAsia"/>
          <w:szCs w:val="24"/>
          <w:u w:val="none"/>
        </w:rPr>
        <w:t>始予敘獎</w:t>
      </w:r>
      <w:proofErr w:type="gramEnd"/>
      <w:r w:rsidRPr="0020728E">
        <w:rPr>
          <w:rFonts w:hint="eastAsia"/>
          <w:szCs w:val="24"/>
          <w:u w:val="none"/>
        </w:rPr>
        <w:t>，若有特例則另以簽陳</w:t>
      </w:r>
      <w:r w:rsidRPr="0020728E">
        <w:rPr>
          <w:szCs w:val="24"/>
          <w:u w:val="none"/>
        </w:rPr>
        <w:t xml:space="preserve"> </w:t>
      </w:r>
      <w:r w:rsidRPr="0020728E">
        <w:rPr>
          <w:rFonts w:hint="eastAsia"/>
          <w:szCs w:val="24"/>
          <w:u w:val="none"/>
        </w:rPr>
        <w:t>校長核定。</w:t>
      </w:r>
    </w:p>
    <w:p w:rsidR="0020728E" w:rsidRPr="0020728E" w:rsidRDefault="0020728E" w:rsidP="0020728E">
      <w:pPr>
        <w:snapToGrid w:val="0"/>
        <w:ind w:left="720" w:hangingChars="300" w:hanging="720"/>
        <w:jc w:val="both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（二）非指定各高國中均參加者，可自由參加者，以降一級標準獎勵。非</w:t>
      </w:r>
      <w:proofErr w:type="gramStart"/>
      <w:r w:rsidRPr="0020728E">
        <w:rPr>
          <w:rFonts w:hint="eastAsia"/>
          <w:szCs w:val="24"/>
          <w:u w:val="none"/>
        </w:rPr>
        <w:t>學校薦派</w:t>
      </w:r>
      <w:proofErr w:type="gramEnd"/>
      <w:r w:rsidRPr="0020728E">
        <w:rPr>
          <w:rFonts w:hint="eastAsia"/>
          <w:szCs w:val="24"/>
          <w:u w:val="none"/>
        </w:rPr>
        <w:t>，自行參賽得獎者以降二級標準獎勵。</w:t>
      </w:r>
    </w:p>
    <w:p w:rsidR="0020728E" w:rsidRPr="0020728E" w:rsidRDefault="0020728E" w:rsidP="0020728E">
      <w:pPr>
        <w:snapToGrid w:val="0"/>
        <w:ind w:left="720" w:hangingChars="300" w:hanging="720"/>
        <w:jc w:val="both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（三）同一比賽敘獎擇優以一次敘獎原則辦理。</w:t>
      </w:r>
    </w:p>
    <w:p w:rsidR="0020728E" w:rsidRPr="0020728E" w:rsidRDefault="0020728E" w:rsidP="0020728E">
      <w:pPr>
        <w:snapToGrid w:val="0"/>
        <w:rPr>
          <w:szCs w:val="24"/>
          <w:u w:val="none"/>
        </w:rPr>
      </w:pPr>
      <w:r w:rsidRPr="0020728E">
        <w:rPr>
          <w:rFonts w:hint="eastAsia"/>
          <w:szCs w:val="24"/>
          <w:u w:val="none"/>
        </w:rPr>
        <w:t>六、本辦法經行政會報呈校長核准後實施。</w:t>
      </w:r>
    </w:p>
    <w:p w:rsidR="008120C0" w:rsidRPr="0020728E" w:rsidRDefault="008120C0">
      <w:pPr>
        <w:rPr>
          <w:szCs w:val="24"/>
        </w:rPr>
      </w:pPr>
    </w:p>
    <w:sectPr w:rsidR="008120C0" w:rsidRPr="002072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2D5E"/>
    <w:multiLevelType w:val="hybridMultilevel"/>
    <w:tmpl w:val="C4021C48"/>
    <w:lvl w:ilvl="0" w:tplc="30B6FF46">
      <w:start w:val="1"/>
      <w:numFmt w:val="decimal"/>
      <w:lvlText w:val="3.%1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72229E"/>
    <w:multiLevelType w:val="hybridMultilevel"/>
    <w:tmpl w:val="DBEA1E7A"/>
    <w:lvl w:ilvl="0" w:tplc="B66AB33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標楷體" w:eastAsia="標楷體" w:hAnsi="Times New Roman" w:cs="Times New Roman"/>
      </w:rPr>
    </w:lvl>
    <w:lvl w:ilvl="1" w:tplc="FC2A9550">
      <w:start w:val="1"/>
      <w:numFmt w:val="taiwaneseCountingThousand"/>
      <w:lvlText w:val="(%2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2" w:tplc="DEEC950A">
      <w:start w:val="3"/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Times New Roman" w:eastAsia="標楷體" w:hAnsi="Times New Roman" w:cs="Times New Roman" w:hint="default"/>
      </w:rPr>
    </w:lvl>
    <w:lvl w:ilvl="3" w:tplc="6ED45124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4" w:tplc="51DAA7A6">
      <w:start w:val="1"/>
      <w:numFmt w:val="decimal"/>
      <w:lvlText w:val="（%5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8E"/>
    <w:rsid w:val="001B56B8"/>
    <w:rsid w:val="0020728E"/>
    <w:rsid w:val="0081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8E"/>
    <w:pPr>
      <w:widowControl w:val="0"/>
    </w:pPr>
    <w:rPr>
      <w:rFonts w:ascii="標楷體" w:eastAsia="標楷體" w:hAnsi="Times New Roman" w:cs="Times New Roman"/>
      <w:snapToGrid w:val="0"/>
      <w:kern w:val="0"/>
      <w:szCs w:val="20"/>
      <w:u w:val="words"/>
    </w:rPr>
  </w:style>
  <w:style w:type="paragraph" w:styleId="1">
    <w:name w:val="heading 1"/>
    <w:basedOn w:val="a"/>
    <w:next w:val="a"/>
    <w:link w:val="10"/>
    <w:uiPriority w:val="9"/>
    <w:qFormat/>
    <w:rsid w:val="001B56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link w:val="20"/>
    <w:qFormat/>
    <w:rsid w:val="001B56B8"/>
    <w:pPr>
      <w:keepNext w:val="0"/>
      <w:overflowPunct w:val="0"/>
      <w:adjustRightInd w:val="0"/>
      <w:snapToGrid w:val="0"/>
      <w:spacing w:beforeLines="150" w:before="150" w:afterLines="50" w:after="50" w:line="240" w:lineRule="auto"/>
      <w:ind w:hangingChars="201" w:hanging="482"/>
      <w:outlineLvl w:val="1"/>
    </w:pPr>
    <w:rPr>
      <w:rFonts w:ascii="Cambria" w:eastAsia="標楷體" w:hAnsi="Cambria" w:cstheme="minorBidi"/>
      <w:b w:val="0"/>
      <w:bCs w:val="0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1B56B8"/>
    <w:rPr>
      <w:rFonts w:ascii="Cambria" w:eastAsia="標楷體" w:hAnsi="Cambria"/>
      <w:kern w:val="52"/>
      <w:sz w:val="28"/>
      <w:szCs w:val="48"/>
    </w:rPr>
  </w:style>
  <w:style w:type="character" w:customStyle="1" w:styleId="10">
    <w:name w:val="標題 1 字元"/>
    <w:basedOn w:val="a0"/>
    <w:link w:val="1"/>
    <w:uiPriority w:val="9"/>
    <w:rsid w:val="001B56B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8E"/>
    <w:pPr>
      <w:widowControl w:val="0"/>
    </w:pPr>
    <w:rPr>
      <w:rFonts w:ascii="標楷體" w:eastAsia="標楷體" w:hAnsi="Times New Roman" w:cs="Times New Roman"/>
      <w:snapToGrid w:val="0"/>
      <w:kern w:val="0"/>
      <w:szCs w:val="20"/>
      <w:u w:val="words"/>
    </w:rPr>
  </w:style>
  <w:style w:type="paragraph" w:styleId="1">
    <w:name w:val="heading 1"/>
    <w:basedOn w:val="a"/>
    <w:next w:val="a"/>
    <w:link w:val="10"/>
    <w:uiPriority w:val="9"/>
    <w:qFormat/>
    <w:rsid w:val="001B56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"/>
    <w:link w:val="20"/>
    <w:qFormat/>
    <w:rsid w:val="001B56B8"/>
    <w:pPr>
      <w:keepNext w:val="0"/>
      <w:overflowPunct w:val="0"/>
      <w:adjustRightInd w:val="0"/>
      <w:snapToGrid w:val="0"/>
      <w:spacing w:beforeLines="150" w:before="150" w:afterLines="50" w:after="50" w:line="240" w:lineRule="auto"/>
      <w:ind w:hangingChars="201" w:hanging="482"/>
      <w:outlineLvl w:val="1"/>
    </w:pPr>
    <w:rPr>
      <w:rFonts w:ascii="Cambria" w:eastAsia="標楷體" w:hAnsi="Cambria" w:cstheme="minorBidi"/>
      <w:b w:val="0"/>
      <w:bCs w:val="0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1B56B8"/>
    <w:rPr>
      <w:rFonts w:ascii="Cambria" w:eastAsia="標楷體" w:hAnsi="Cambria"/>
      <w:kern w:val="52"/>
      <w:sz w:val="28"/>
      <w:szCs w:val="48"/>
    </w:rPr>
  </w:style>
  <w:style w:type="character" w:customStyle="1" w:styleId="10">
    <w:name w:val="標題 1 字元"/>
    <w:basedOn w:val="a0"/>
    <w:link w:val="1"/>
    <w:uiPriority w:val="9"/>
    <w:rsid w:val="001B56B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2021-02-08T04:38:00Z</dcterms:created>
  <dcterms:modified xsi:type="dcterms:W3CDTF">2021-02-08T04:45:00Z</dcterms:modified>
</cp:coreProperties>
</file>